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E9A" w:rsidRDefault="00F84E9A" w:rsidP="00F84E9A">
      <w:pPr>
        <w:pStyle w:val="Default"/>
        <w:spacing w:line="720" w:lineRule="auto"/>
        <w:ind w:firstLineChars="100" w:firstLine="442"/>
        <w:jc w:val="center"/>
        <w:rPr>
          <w:rFonts w:asciiTheme="majorEastAsia" w:eastAsiaTheme="majorEastAsia" w:hAnsiTheme="majorEastAsia" w:hint="eastAsia"/>
          <w:b/>
          <w:bCs/>
          <w:sz w:val="44"/>
          <w:szCs w:val="44"/>
        </w:rPr>
      </w:pPr>
      <w:r w:rsidRPr="00F84E9A">
        <w:rPr>
          <w:rFonts w:asciiTheme="majorEastAsia" w:eastAsiaTheme="majorEastAsia" w:hAnsiTheme="majorEastAsia" w:hint="eastAsia"/>
          <w:b/>
          <w:bCs/>
          <w:sz w:val="44"/>
          <w:szCs w:val="44"/>
        </w:rPr>
        <w:t>林冲镇人民政府关于</w:t>
      </w:r>
      <w:r w:rsidRPr="00F84E9A">
        <w:rPr>
          <w:rFonts w:asciiTheme="majorEastAsia" w:eastAsiaTheme="majorEastAsia" w:hAnsiTheme="majorEastAsia" w:hint="eastAsia"/>
          <w:b/>
          <w:sz w:val="44"/>
          <w:szCs w:val="44"/>
        </w:rPr>
        <w:t>2024</w:t>
      </w:r>
      <w:r w:rsidRPr="00F84E9A">
        <w:rPr>
          <w:rFonts w:asciiTheme="majorEastAsia" w:eastAsiaTheme="majorEastAsia" w:hAnsiTheme="majorEastAsia" w:hint="eastAsia"/>
          <w:b/>
          <w:bCs/>
          <w:sz w:val="44"/>
          <w:szCs w:val="44"/>
        </w:rPr>
        <w:t>年度预算绩效</w:t>
      </w:r>
    </w:p>
    <w:p w:rsidR="00DC4DCA" w:rsidRPr="00F84E9A" w:rsidRDefault="00F84E9A" w:rsidP="00F84E9A">
      <w:pPr>
        <w:pStyle w:val="Default"/>
        <w:spacing w:line="720" w:lineRule="auto"/>
        <w:ind w:firstLineChars="100" w:firstLine="442"/>
        <w:jc w:val="center"/>
        <w:rPr>
          <w:rStyle w:val="a4"/>
          <w:rFonts w:asciiTheme="majorEastAsia" w:eastAsiaTheme="majorEastAsia" w:hAnsiTheme="majorEastAsia"/>
          <w:sz w:val="44"/>
          <w:szCs w:val="44"/>
        </w:rPr>
      </w:pPr>
      <w:r w:rsidRPr="00F84E9A">
        <w:rPr>
          <w:rFonts w:asciiTheme="majorEastAsia" w:eastAsiaTheme="majorEastAsia" w:hAnsiTheme="majorEastAsia" w:hint="eastAsia"/>
          <w:b/>
          <w:bCs/>
          <w:sz w:val="44"/>
          <w:szCs w:val="44"/>
        </w:rPr>
        <w:t>情况</w:t>
      </w:r>
      <w:r>
        <w:rPr>
          <w:rFonts w:asciiTheme="majorEastAsia" w:eastAsiaTheme="majorEastAsia" w:hAnsiTheme="majorEastAsia" w:hint="eastAsia"/>
          <w:b/>
          <w:bCs/>
          <w:sz w:val="44"/>
          <w:szCs w:val="44"/>
        </w:rPr>
        <w:t>的</w:t>
      </w:r>
      <w:bookmarkStart w:id="0" w:name="_GoBack"/>
      <w:bookmarkEnd w:id="0"/>
      <w:r w:rsidRPr="00F84E9A">
        <w:rPr>
          <w:rFonts w:asciiTheme="majorEastAsia" w:eastAsiaTheme="majorEastAsia" w:hAnsiTheme="majorEastAsia" w:hint="eastAsia"/>
          <w:b/>
          <w:bCs/>
          <w:sz w:val="44"/>
          <w:szCs w:val="44"/>
        </w:rPr>
        <w:t>说明</w:t>
      </w:r>
    </w:p>
    <w:p w:rsidR="00DC4DCA" w:rsidRPr="00F84E9A" w:rsidRDefault="00770717" w:rsidP="00F84E9A">
      <w:pPr>
        <w:spacing w:line="560" w:lineRule="exact"/>
        <w:ind w:firstLineChars="200" w:firstLine="643"/>
        <w:jc w:val="left"/>
        <w:rPr>
          <w:rFonts w:asciiTheme="minorEastAsia" w:eastAsiaTheme="minorEastAsia" w:hAnsiTheme="minorEastAsia" w:cs="仿宋_GB2312"/>
          <w:b/>
          <w:sz w:val="32"/>
          <w:szCs w:val="32"/>
        </w:rPr>
      </w:pPr>
      <w:r w:rsidRPr="00F84E9A">
        <w:rPr>
          <w:rFonts w:asciiTheme="minorEastAsia" w:eastAsiaTheme="minorEastAsia" w:hAnsiTheme="minorEastAsia" w:cs="仿宋_GB2312" w:hint="eastAsia"/>
          <w:b/>
          <w:sz w:val="32"/>
          <w:szCs w:val="32"/>
        </w:rPr>
        <w:t>一、部门（单位）基本概况</w:t>
      </w:r>
    </w:p>
    <w:p w:rsidR="00DC4DCA" w:rsidRPr="00F84E9A" w:rsidRDefault="00770717" w:rsidP="00F84E9A">
      <w:pPr>
        <w:spacing w:line="560" w:lineRule="exact"/>
        <w:ind w:firstLineChars="200" w:firstLine="643"/>
        <w:textAlignment w:val="auto"/>
        <w:rPr>
          <w:rFonts w:ascii="楷体" w:eastAsia="楷体" w:hAnsi="楷体" w:cs="仿宋_GB2312"/>
          <w:b/>
          <w:sz w:val="32"/>
          <w:szCs w:val="32"/>
        </w:rPr>
      </w:pPr>
      <w:r w:rsidRPr="00F84E9A">
        <w:rPr>
          <w:rFonts w:ascii="楷体" w:eastAsia="楷体" w:hAnsi="楷体" w:cs="仿宋_GB2312" w:hint="eastAsia"/>
          <w:b/>
          <w:sz w:val="32"/>
          <w:szCs w:val="32"/>
        </w:rPr>
        <w:t>（一）职能职责</w:t>
      </w:r>
    </w:p>
    <w:p w:rsidR="00DC4DCA" w:rsidRDefault="00770717">
      <w:pPr>
        <w:spacing w:line="560" w:lineRule="exact"/>
        <w:ind w:left="0" w:firstLineChars="200" w:firstLine="640"/>
        <w:textAlignment w:val="auto"/>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落实国家政策方针，严格依法行政，加强政策引导，搞好市场监管。执行本行政区域内的经济和社会发展计划、预算，管理本行政区域内的经济、教育、科学、文化、卫生健康、体育事业</w:t>
      </w:r>
      <w:r>
        <w:rPr>
          <w:rFonts w:ascii="仿宋_GB2312" w:eastAsia="仿宋_GB2312" w:hAnsi="仿宋_GB2312" w:cs="仿宋_GB2312" w:hint="eastAsia"/>
          <w:color w:val="000000"/>
          <w:sz w:val="32"/>
          <w:szCs w:val="32"/>
        </w:rPr>
        <w:t>和</w:t>
      </w:r>
      <w:r>
        <w:rPr>
          <w:rFonts w:ascii="仿宋_GB2312" w:eastAsia="仿宋_GB2312" w:hAnsi="仿宋_GB2312" w:cs="仿宋_GB2312" w:hint="eastAsia"/>
          <w:color w:val="000000"/>
          <w:sz w:val="32"/>
          <w:szCs w:val="32"/>
        </w:rPr>
        <w:t>财政、民政、公安、司法、计划生育等行政工作。保护社会主义的全民所有财产和劳动群众</w:t>
      </w:r>
      <w:r>
        <w:rPr>
          <w:rFonts w:ascii="仿宋_GB2312" w:eastAsia="仿宋_GB2312" w:hAnsi="仿宋_GB2312" w:cs="仿宋_GB2312" w:hint="eastAsia"/>
          <w:color w:val="000000"/>
          <w:sz w:val="32"/>
          <w:szCs w:val="32"/>
        </w:rPr>
        <w:t>的</w:t>
      </w:r>
      <w:r>
        <w:rPr>
          <w:rFonts w:ascii="仿宋_GB2312" w:eastAsia="仿宋_GB2312" w:hAnsi="仿宋_GB2312" w:cs="仿宋_GB2312" w:hint="eastAsia"/>
          <w:color w:val="000000"/>
          <w:sz w:val="32"/>
          <w:szCs w:val="32"/>
        </w:rPr>
        <w:t>集体所有财产，保护公民私有合法财产，维护社会秩序，保障公民的人身权利、民主权利和其他权利。办理上级人民政府交办的其它事项。</w:t>
      </w:r>
    </w:p>
    <w:p w:rsidR="00DC4DCA" w:rsidRPr="00F84E9A" w:rsidRDefault="00770717" w:rsidP="00F84E9A">
      <w:pPr>
        <w:spacing w:line="560" w:lineRule="exact"/>
        <w:ind w:firstLineChars="200" w:firstLine="643"/>
        <w:textAlignment w:val="auto"/>
        <w:rPr>
          <w:rFonts w:ascii="楷体" w:eastAsia="楷体" w:hAnsi="楷体" w:cs="仿宋_GB2312"/>
          <w:b/>
          <w:sz w:val="32"/>
          <w:szCs w:val="32"/>
        </w:rPr>
      </w:pPr>
      <w:r w:rsidRPr="00F84E9A">
        <w:rPr>
          <w:rFonts w:ascii="楷体" w:eastAsia="楷体" w:hAnsi="楷体" w:cs="仿宋_GB2312" w:hint="eastAsia"/>
          <w:b/>
          <w:sz w:val="32"/>
          <w:szCs w:val="32"/>
        </w:rPr>
        <w:t>（二）机构设置</w:t>
      </w:r>
    </w:p>
    <w:p w:rsidR="00DC4DCA" w:rsidRDefault="00770717">
      <w:pPr>
        <w:spacing w:line="560" w:lineRule="exact"/>
        <w:ind w:left="0" w:firstLineChars="200" w:firstLine="640"/>
        <w:jc w:val="left"/>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新晃侗族自治县林冲镇人民政府属于一级预算单位，内设机构包括：“六办三中心”（党政办、党建办、经济发展办、社会事务办、自然资源和生态环境办、</w:t>
      </w:r>
      <w:r>
        <w:rPr>
          <w:rFonts w:ascii="仿宋_GB2312" w:eastAsia="仿宋_GB2312" w:hAnsi="仿宋_GB2312" w:cs="仿宋_GB2312" w:hint="eastAsia"/>
          <w:sz w:val="32"/>
          <w:szCs w:val="32"/>
        </w:rPr>
        <w:t>平安法制与</w:t>
      </w:r>
      <w:r>
        <w:rPr>
          <w:rFonts w:ascii="仿宋_GB2312" w:eastAsia="仿宋_GB2312" w:hAnsi="仿宋_GB2312" w:cs="仿宋_GB2312" w:hint="eastAsia"/>
          <w:sz w:val="32"/>
          <w:szCs w:val="32"/>
        </w:rPr>
        <w:t>应急管理办、政务服务中心、农业综合服务中心、社会事务综合服务中心）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综合行政执法大队</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国土所</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司法所</w:t>
      </w:r>
      <w:r>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财政所。</w:t>
      </w:r>
      <w:r>
        <w:rPr>
          <w:rFonts w:ascii="仿宋_GB2312" w:eastAsia="仿宋_GB2312" w:hAnsi="仿宋_GB2312" w:cs="仿宋_GB2312" w:hint="eastAsia"/>
          <w:sz w:val="32"/>
          <w:szCs w:val="32"/>
        </w:rPr>
        <w:t>截至</w:t>
      </w: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底，在编在岗</w:t>
      </w:r>
      <w:r>
        <w:rPr>
          <w:rFonts w:ascii="仿宋_GB2312" w:eastAsia="仿宋_GB2312" w:hAnsi="仿宋_GB2312" w:cs="仿宋_GB2312" w:hint="eastAsia"/>
          <w:sz w:val="32"/>
          <w:szCs w:val="32"/>
        </w:rPr>
        <w:t>人数</w:t>
      </w:r>
      <w:r>
        <w:rPr>
          <w:rFonts w:ascii="仿宋_GB2312" w:eastAsia="仿宋_GB2312" w:hAnsi="仿宋_GB2312" w:cs="仿宋_GB2312" w:hint="eastAsia"/>
          <w:sz w:val="32"/>
          <w:szCs w:val="32"/>
        </w:rPr>
        <w:t>为</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其中</w:t>
      </w:r>
      <w:r>
        <w:rPr>
          <w:rFonts w:ascii="仿宋_GB2312" w:eastAsia="仿宋_GB2312" w:hAnsi="仿宋_GB2312" w:cs="仿宋_GB2312" w:hint="eastAsia"/>
          <w:sz w:val="32"/>
          <w:szCs w:val="32"/>
        </w:rPr>
        <w:t>公务员编制</w:t>
      </w: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w:t>
      </w:r>
      <w:r>
        <w:rPr>
          <w:rFonts w:ascii="仿宋_GB2312" w:eastAsia="仿宋_GB2312" w:hAnsi="仿宋_GB2312" w:cs="仿宋_GB2312" w:hint="eastAsia"/>
          <w:color w:val="000000"/>
          <w:sz w:val="32"/>
          <w:szCs w:val="32"/>
        </w:rPr>
        <w:t>事业编制</w:t>
      </w:r>
      <w:r>
        <w:rPr>
          <w:rFonts w:ascii="仿宋_GB2312" w:eastAsia="仿宋_GB2312" w:hAnsi="仿宋_GB2312" w:cs="仿宋_GB2312" w:hint="eastAsia"/>
          <w:color w:val="000000"/>
          <w:sz w:val="32"/>
          <w:szCs w:val="32"/>
        </w:rPr>
        <w:t>35</w:t>
      </w:r>
      <w:r>
        <w:rPr>
          <w:rFonts w:ascii="仿宋_GB2312" w:eastAsia="仿宋_GB2312" w:hAnsi="仿宋_GB2312" w:cs="仿宋_GB2312" w:hint="eastAsia"/>
          <w:color w:val="000000"/>
          <w:sz w:val="32"/>
          <w:szCs w:val="32"/>
        </w:rPr>
        <w:t>名。</w:t>
      </w:r>
    </w:p>
    <w:p w:rsidR="00DC4DCA" w:rsidRPr="00F84E9A" w:rsidRDefault="00770717" w:rsidP="00F84E9A">
      <w:pPr>
        <w:spacing w:line="560" w:lineRule="exact"/>
        <w:ind w:firstLineChars="200" w:firstLine="643"/>
        <w:textAlignment w:val="auto"/>
        <w:rPr>
          <w:rFonts w:ascii="楷体" w:eastAsia="楷体" w:hAnsi="楷体" w:cs="仿宋_GB2312"/>
          <w:b/>
          <w:sz w:val="32"/>
          <w:szCs w:val="32"/>
        </w:rPr>
      </w:pPr>
      <w:r w:rsidRPr="00F84E9A">
        <w:rPr>
          <w:rFonts w:ascii="楷体" w:eastAsia="楷体" w:hAnsi="楷体" w:cs="仿宋_GB2312" w:hint="eastAsia"/>
          <w:b/>
          <w:sz w:val="32"/>
          <w:szCs w:val="32"/>
        </w:rPr>
        <w:t>（三）</w:t>
      </w:r>
      <w:r w:rsidRPr="00F84E9A">
        <w:rPr>
          <w:rFonts w:ascii="楷体" w:eastAsia="楷体" w:hAnsi="楷体" w:cs="仿宋_GB2312" w:hint="eastAsia"/>
          <w:b/>
          <w:sz w:val="32"/>
          <w:szCs w:val="32"/>
        </w:rPr>
        <w:t>202</w:t>
      </w:r>
      <w:r w:rsidRPr="00F84E9A">
        <w:rPr>
          <w:rFonts w:ascii="楷体" w:eastAsia="楷体" w:hAnsi="楷体" w:cs="仿宋_GB2312" w:hint="eastAsia"/>
          <w:b/>
          <w:sz w:val="32"/>
          <w:szCs w:val="32"/>
        </w:rPr>
        <w:t>4</w:t>
      </w:r>
      <w:r w:rsidRPr="00F84E9A">
        <w:rPr>
          <w:rFonts w:ascii="楷体" w:eastAsia="楷体" w:hAnsi="楷体" w:cs="仿宋_GB2312" w:hint="eastAsia"/>
          <w:b/>
          <w:sz w:val="32"/>
          <w:szCs w:val="32"/>
        </w:rPr>
        <w:t>年度财政收支情况</w:t>
      </w:r>
    </w:p>
    <w:p w:rsidR="00DC4DCA" w:rsidRDefault="00770717">
      <w:pPr>
        <w:spacing w:line="560" w:lineRule="exact"/>
        <w:ind w:left="0"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202</w:t>
      </w:r>
      <w:r>
        <w:rPr>
          <w:rFonts w:ascii="仿宋_GB2312" w:eastAsia="仿宋_GB2312" w:hAnsi="仿宋_GB2312" w:cs="仿宋_GB2312" w:hint="eastAsia"/>
          <w:color w:val="000000"/>
          <w:sz w:val="32"/>
          <w:szCs w:val="32"/>
        </w:rPr>
        <w:t>4</w:t>
      </w:r>
      <w:r>
        <w:rPr>
          <w:rFonts w:ascii="仿宋_GB2312" w:eastAsia="仿宋_GB2312" w:hAnsi="仿宋_GB2312" w:cs="仿宋_GB2312" w:hint="eastAsia"/>
          <w:color w:val="000000"/>
          <w:sz w:val="32"/>
          <w:szCs w:val="32"/>
        </w:rPr>
        <w:t>年</w:t>
      </w:r>
      <w:r>
        <w:rPr>
          <w:rFonts w:ascii="仿宋_GB2312" w:eastAsia="仿宋_GB2312" w:hAnsi="仿宋_GB2312" w:cs="仿宋_GB2312" w:hint="eastAsia"/>
          <w:color w:val="000000"/>
          <w:sz w:val="32"/>
          <w:szCs w:val="32"/>
        </w:rPr>
        <w:t>总</w:t>
      </w:r>
      <w:r>
        <w:rPr>
          <w:rFonts w:ascii="仿宋_GB2312" w:eastAsia="仿宋_GB2312" w:hAnsi="仿宋_GB2312" w:cs="仿宋_GB2312" w:hint="eastAsia"/>
          <w:color w:val="000000"/>
          <w:sz w:val="32"/>
          <w:szCs w:val="32"/>
        </w:rPr>
        <w:t>收入</w:t>
      </w:r>
      <w:r>
        <w:rPr>
          <w:rFonts w:ascii="仿宋_GB2312" w:eastAsia="仿宋_GB2312" w:hAnsi="仿宋_GB2312" w:cs="仿宋_GB2312" w:hint="eastAsia"/>
          <w:sz w:val="32"/>
          <w:szCs w:val="32"/>
        </w:rPr>
        <w:t>11737979.01</w:t>
      </w:r>
      <w:r>
        <w:rPr>
          <w:rFonts w:ascii="仿宋_GB2312" w:eastAsia="仿宋_GB2312" w:hAnsi="仿宋_GB2312" w:cs="仿宋_GB2312" w:hint="eastAsia"/>
          <w:color w:val="000000"/>
          <w:sz w:val="32"/>
          <w:szCs w:val="32"/>
        </w:rPr>
        <w:t>元，总出</w:t>
      </w:r>
      <w:r>
        <w:rPr>
          <w:rFonts w:ascii="仿宋_GB2312" w:eastAsia="仿宋_GB2312" w:hAnsi="仿宋_GB2312" w:cs="仿宋_GB2312" w:hint="eastAsia"/>
          <w:sz w:val="32"/>
          <w:szCs w:val="32"/>
        </w:rPr>
        <w:t>支：</w:t>
      </w:r>
      <w:r>
        <w:rPr>
          <w:rFonts w:ascii="仿宋_GB2312" w:eastAsia="仿宋_GB2312" w:hAnsi="仿宋_GB2312" w:cs="仿宋_GB2312" w:hint="eastAsia"/>
          <w:sz w:val="32"/>
          <w:szCs w:val="32"/>
        </w:rPr>
        <w:t>11737979.01</w:t>
      </w:r>
      <w:r>
        <w:rPr>
          <w:rFonts w:ascii="仿宋_GB2312" w:eastAsia="仿宋_GB2312" w:hAnsi="仿宋_GB2312" w:cs="仿宋_GB2312" w:hint="eastAsia"/>
          <w:sz w:val="32"/>
          <w:szCs w:val="32"/>
        </w:rPr>
        <w:t>元。其中：</w:t>
      </w:r>
      <w:r>
        <w:rPr>
          <w:rFonts w:ascii="仿宋_GB2312" w:eastAsia="仿宋_GB2312" w:hAnsi="仿宋_GB2312" w:cs="仿宋_GB2312" w:hint="eastAsia"/>
          <w:color w:val="000000"/>
          <w:sz w:val="32"/>
          <w:szCs w:val="32"/>
          <w:shd w:val="clear" w:color="auto" w:fill="FFFFFF"/>
        </w:rPr>
        <w:t>一般公共服务支出</w:t>
      </w:r>
      <w:r>
        <w:rPr>
          <w:rFonts w:ascii="仿宋_GB2312" w:eastAsia="仿宋_GB2312" w:hAnsi="仿宋_GB2312" w:cs="仿宋_GB2312" w:hint="eastAsia"/>
          <w:color w:val="000000"/>
          <w:sz w:val="32"/>
          <w:szCs w:val="32"/>
          <w:shd w:val="clear" w:color="auto" w:fill="FFFFFF"/>
        </w:rPr>
        <w:t>3925512.12</w:t>
      </w:r>
      <w:r>
        <w:rPr>
          <w:rFonts w:ascii="仿宋_GB2312" w:eastAsia="仿宋_GB2312" w:hAnsi="仿宋_GB2312" w:cs="仿宋_GB2312" w:hint="eastAsia"/>
          <w:color w:val="000000"/>
          <w:sz w:val="32"/>
          <w:szCs w:val="32"/>
          <w:shd w:val="clear" w:color="auto" w:fill="FFFFFF"/>
        </w:rPr>
        <w:t>元</w:t>
      </w:r>
      <w:r>
        <w:rPr>
          <w:rFonts w:ascii="仿宋_GB2312" w:eastAsia="仿宋_GB2312" w:hAnsi="仿宋_GB2312" w:cs="仿宋_GB2312" w:hint="eastAsia"/>
          <w:color w:val="000000"/>
          <w:sz w:val="32"/>
          <w:szCs w:val="32"/>
          <w:shd w:val="clear" w:color="auto" w:fill="FFFFFF"/>
        </w:rPr>
        <w:t>；文化旅游体育与传媒</w:t>
      </w:r>
      <w:r>
        <w:rPr>
          <w:rFonts w:ascii="仿宋_GB2312" w:eastAsia="仿宋_GB2312" w:hAnsi="仿宋_GB2312" w:cs="仿宋_GB2312" w:hint="eastAsia"/>
          <w:color w:val="000000"/>
          <w:sz w:val="32"/>
          <w:szCs w:val="32"/>
          <w:shd w:val="clear" w:color="auto" w:fill="FFFFFF"/>
        </w:rPr>
        <w:lastRenderedPageBreak/>
        <w:t>支出</w:t>
      </w:r>
      <w:r>
        <w:rPr>
          <w:rFonts w:ascii="仿宋_GB2312" w:eastAsia="仿宋_GB2312" w:hAnsi="仿宋_GB2312" w:cs="仿宋_GB2312" w:hint="eastAsia"/>
          <w:color w:val="000000"/>
          <w:sz w:val="32"/>
          <w:szCs w:val="32"/>
          <w:shd w:val="clear" w:color="auto" w:fill="FFFFFF"/>
        </w:rPr>
        <w:t>54900</w:t>
      </w:r>
      <w:r>
        <w:rPr>
          <w:rFonts w:ascii="仿宋_GB2312" w:eastAsia="仿宋_GB2312" w:hAnsi="仿宋_GB2312" w:cs="仿宋_GB2312" w:hint="eastAsia"/>
          <w:color w:val="000000"/>
          <w:sz w:val="32"/>
          <w:szCs w:val="32"/>
          <w:shd w:val="clear" w:color="auto" w:fill="FFFFFF"/>
        </w:rPr>
        <w:t>元；</w:t>
      </w:r>
      <w:r>
        <w:rPr>
          <w:rFonts w:ascii="仿宋_GB2312" w:eastAsia="仿宋_GB2312" w:hAnsi="仿宋_GB2312" w:cs="仿宋_GB2312" w:hint="eastAsia"/>
          <w:color w:val="000000"/>
          <w:sz w:val="32"/>
          <w:szCs w:val="32"/>
          <w:shd w:val="clear" w:color="auto" w:fill="FFFFFF"/>
        </w:rPr>
        <w:t>社会保障和就业支出</w:t>
      </w:r>
      <w:r>
        <w:rPr>
          <w:rFonts w:ascii="仿宋_GB2312" w:eastAsia="仿宋_GB2312" w:hAnsi="仿宋_GB2312" w:cs="仿宋_GB2312" w:hint="eastAsia"/>
          <w:color w:val="000000"/>
          <w:sz w:val="32"/>
          <w:szCs w:val="32"/>
          <w:shd w:val="clear" w:color="auto" w:fill="FFFFFF"/>
        </w:rPr>
        <w:t>1027086.42</w:t>
      </w:r>
      <w:r>
        <w:rPr>
          <w:rFonts w:ascii="仿宋_GB2312" w:eastAsia="仿宋_GB2312" w:hAnsi="仿宋_GB2312" w:cs="仿宋_GB2312" w:hint="eastAsia"/>
          <w:color w:val="000000"/>
          <w:sz w:val="32"/>
          <w:szCs w:val="32"/>
          <w:shd w:val="clear" w:color="auto" w:fill="FFFFFF"/>
        </w:rPr>
        <w:t>元</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hint="eastAsia"/>
          <w:color w:val="000000"/>
          <w:sz w:val="32"/>
          <w:szCs w:val="32"/>
          <w:shd w:val="clear" w:color="auto" w:fill="FFFFFF"/>
        </w:rPr>
        <w:t>卫生健康支出</w:t>
      </w:r>
      <w:r>
        <w:rPr>
          <w:rFonts w:ascii="仿宋_GB2312" w:eastAsia="仿宋_GB2312" w:hAnsi="仿宋_GB2312" w:cs="仿宋_GB2312" w:hint="eastAsia"/>
          <w:color w:val="000000"/>
          <w:sz w:val="32"/>
          <w:szCs w:val="32"/>
          <w:shd w:val="clear" w:color="auto" w:fill="FFFFFF"/>
        </w:rPr>
        <w:t>376316.15</w:t>
      </w:r>
      <w:r>
        <w:rPr>
          <w:rFonts w:ascii="仿宋_GB2312" w:eastAsia="仿宋_GB2312" w:hAnsi="仿宋_GB2312" w:cs="仿宋_GB2312" w:hint="eastAsia"/>
          <w:color w:val="000000"/>
          <w:sz w:val="32"/>
          <w:szCs w:val="32"/>
          <w:shd w:val="clear" w:color="auto" w:fill="FFFFFF"/>
        </w:rPr>
        <w:t>元</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hint="eastAsia"/>
          <w:color w:val="000000"/>
          <w:sz w:val="32"/>
          <w:szCs w:val="32"/>
          <w:shd w:val="clear" w:color="auto" w:fill="FFFFFF"/>
        </w:rPr>
        <w:t>城乡社区支出</w:t>
      </w:r>
      <w:r>
        <w:rPr>
          <w:rFonts w:ascii="仿宋_GB2312" w:eastAsia="仿宋_GB2312" w:hAnsi="仿宋_GB2312" w:cs="仿宋_GB2312" w:hint="eastAsia"/>
          <w:color w:val="000000"/>
          <w:sz w:val="32"/>
          <w:szCs w:val="32"/>
          <w:shd w:val="clear" w:color="auto" w:fill="FFFFFF"/>
        </w:rPr>
        <w:t>200950</w:t>
      </w:r>
      <w:r>
        <w:rPr>
          <w:rFonts w:ascii="仿宋_GB2312" w:eastAsia="仿宋_GB2312" w:hAnsi="仿宋_GB2312" w:cs="仿宋_GB2312" w:hint="eastAsia"/>
          <w:color w:val="000000"/>
          <w:sz w:val="32"/>
          <w:szCs w:val="32"/>
          <w:shd w:val="clear" w:color="auto" w:fill="FFFFFF"/>
        </w:rPr>
        <w:t>元</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hint="eastAsia"/>
          <w:color w:val="000000"/>
          <w:sz w:val="32"/>
          <w:szCs w:val="32"/>
          <w:shd w:val="clear" w:color="auto" w:fill="FFFFFF"/>
        </w:rPr>
        <w:t>农林水支出</w:t>
      </w:r>
      <w:r>
        <w:rPr>
          <w:rFonts w:ascii="仿宋_GB2312" w:eastAsia="仿宋_GB2312" w:hAnsi="仿宋_GB2312" w:cs="仿宋_GB2312" w:hint="eastAsia"/>
          <w:color w:val="000000"/>
          <w:sz w:val="32"/>
          <w:szCs w:val="32"/>
          <w:shd w:val="clear" w:color="auto" w:fill="FFFFFF"/>
        </w:rPr>
        <w:t>5758841.53</w:t>
      </w:r>
      <w:r>
        <w:rPr>
          <w:rFonts w:ascii="仿宋_GB2312" w:eastAsia="仿宋_GB2312" w:hAnsi="仿宋_GB2312" w:cs="仿宋_GB2312" w:hint="eastAsia"/>
          <w:color w:val="000000"/>
          <w:sz w:val="32"/>
          <w:szCs w:val="32"/>
          <w:shd w:val="clear" w:color="auto" w:fill="FFFFFF"/>
        </w:rPr>
        <w:t>元</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hint="eastAsia"/>
          <w:color w:val="000000"/>
          <w:sz w:val="32"/>
          <w:szCs w:val="32"/>
          <w:shd w:val="clear" w:color="auto" w:fill="FFFFFF"/>
        </w:rPr>
        <w:t>住房保障支出</w:t>
      </w:r>
      <w:r>
        <w:rPr>
          <w:rFonts w:ascii="仿宋_GB2312" w:eastAsia="仿宋_GB2312" w:hAnsi="仿宋_GB2312" w:cs="仿宋_GB2312" w:hint="eastAsia"/>
          <w:color w:val="000000"/>
          <w:sz w:val="32"/>
          <w:szCs w:val="32"/>
          <w:shd w:val="clear" w:color="auto" w:fill="FFFFFF"/>
        </w:rPr>
        <w:t>330576</w:t>
      </w:r>
      <w:r>
        <w:rPr>
          <w:rFonts w:ascii="仿宋_GB2312" w:eastAsia="仿宋_GB2312" w:hAnsi="仿宋_GB2312" w:cs="仿宋_GB2312" w:hint="eastAsia"/>
          <w:color w:val="000000"/>
          <w:sz w:val="32"/>
          <w:szCs w:val="32"/>
          <w:shd w:val="clear" w:color="auto" w:fill="FFFFFF"/>
        </w:rPr>
        <w:t>元</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hint="eastAsia"/>
          <w:color w:val="000000"/>
          <w:sz w:val="32"/>
          <w:szCs w:val="32"/>
          <w:shd w:val="clear" w:color="auto" w:fill="FFFFFF"/>
        </w:rPr>
        <w:t>灾害防治及应急管理支出</w:t>
      </w:r>
      <w:r>
        <w:rPr>
          <w:rFonts w:ascii="仿宋_GB2312" w:eastAsia="仿宋_GB2312" w:hAnsi="仿宋_GB2312" w:cs="仿宋_GB2312" w:hint="eastAsia"/>
          <w:color w:val="000000"/>
          <w:sz w:val="32"/>
          <w:szCs w:val="32"/>
          <w:shd w:val="clear" w:color="auto" w:fill="FFFFFF"/>
        </w:rPr>
        <w:t>63796.79</w:t>
      </w:r>
      <w:r>
        <w:rPr>
          <w:rFonts w:ascii="仿宋_GB2312" w:eastAsia="仿宋_GB2312" w:hAnsi="仿宋_GB2312" w:cs="仿宋_GB2312" w:hint="eastAsia"/>
          <w:color w:val="000000"/>
          <w:sz w:val="32"/>
          <w:szCs w:val="32"/>
          <w:shd w:val="clear" w:color="auto" w:fill="FFFFFF"/>
        </w:rPr>
        <w:t>元。</w:t>
      </w:r>
    </w:p>
    <w:p w:rsidR="00DC4DCA" w:rsidRDefault="00770717">
      <w:pPr>
        <w:spacing w:line="560" w:lineRule="exact"/>
        <w:ind w:left="0"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年末固定资产状况：</w:t>
      </w:r>
      <w:r>
        <w:rPr>
          <w:rFonts w:ascii="仿宋_GB2312" w:eastAsia="仿宋_GB2312" w:hAnsi="仿宋_GB2312" w:cs="仿宋_GB2312" w:hint="eastAsia"/>
          <w:sz w:val="32"/>
          <w:szCs w:val="32"/>
        </w:rPr>
        <w:t>固定资产</w:t>
      </w:r>
      <w:r>
        <w:rPr>
          <w:rFonts w:ascii="仿宋_GB2312" w:eastAsia="仿宋_GB2312" w:hAnsi="仿宋_GB2312" w:cs="仿宋_GB2312" w:hint="eastAsia"/>
          <w:color w:val="000000"/>
          <w:sz w:val="32"/>
          <w:szCs w:val="32"/>
        </w:rPr>
        <w:t>原值</w:t>
      </w:r>
      <w:r>
        <w:rPr>
          <w:rFonts w:ascii="仿宋_GB2312" w:eastAsia="仿宋_GB2312" w:hAnsi="仿宋_GB2312" w:cs="仿宋_GB2312" w:hint="eastAsia"/>
          <w:color w:val="000000"/>
          <w:sz w:val="32"/>
          <w:szCs w:val="32"/>
        </w:rPr>
        <w:t>1864864.08</w:t>
      </w:r>
      <w:r>
        <w:rPr>
          <w:rFonts w:ascii="仿宋_GB2312" w:eastAsia="仿宋_GB2312" w:hAnsi="仿宋_GB2312" w:cs="仿宋_GB2312" w:hint="eastAsia"/>
          <w:color w:val="000000"/>
          <w:sz w:val="32"/>
          <w:szCs w:val="32"/>
        </w:rPr>
        <w:t>元，</w:t>
      </w:r>
      <w:r>
        <w:rPr>
          <w:rFonts w:ascii="仿宋_GB2312" w:eastAsia="仿宋_GB2312" w:hAnsi="仿宋_GB2312" w:cs="仿宋_GB2312" w:hint="eastAsia"/>
          <w:color w:val="000000"/>
          <w:sz w:val="32"/>
          <w:szCs w:val="32"/>
        </w:rPr>
        <w:t>固定资产</w:t>
      </w:r>
      <w:r>
        <w:rPr>
          <w:rFonts w:ascii="仿宋_GB2312" w:eastAsia="仿宋_GB2312" w:hAnsi="仿宋_GB2312" w:cs="仿宋_GB2312" w:hint="eastAsia"/>
          <w:color w:val="000000"/>
          <w:sz w:val="32"/>
          <w:szCs w:val="32"/>
        </w:rPr>
        <w:t>累计折旧</w:t>
      </w:r>
      <w:r>
        <w:rPr>
          <w:rFonts w:ascii="仿宋_GB2312" w:eastAsia="仿宋_GB2312" w:hAnsi="仿宋_GB2312" w:cs="仿宋_GB2312" w:hint="eastAsia"/>
          <w:color w:val="000000"/>
          <w:sz w:val="32"/>
          <w:szCs w:val="32"/>
        </w:rPr>
        <w:t>5995517.89</w:t>
      </w:r>
      <w:r>
        <w:rPr>
          <w:rFonts w:ascii="仿宋_GB2312" w:eastAsia="仿宋_GB2312" w:hAnsi="仿宋_GB2312" w:cs="仿宋_GB2312" w:hint="eastAsia"/>
          <w:color w:val="000000"/>
          <w:sz w:val="32"/>
          <w:szCs w:val="32"/>
        </w:rPr>
        <w:t>元，</w:t>
      </w:r>
      <w:r>
        <w:rPr>
          <w:rFonts w:ascii="仿宋_GB2312" w:eastAsia="仿宋_GB2312" w:hAnsi="仿宋_GB2312" w:cs="仿宋_GB2312" w:hint="eastAsia"/>
          <w:color w:val="000000"/>
          <w:sz w:val="32"/>
          <w:szCs w:val="32"/>
        </w:rPr>
        <w:t>固定资产</w:t>
      </w:r>
      <w:r>
        <w:rPr>
          <w:rFonts w:ascii="仿宋_GB2312" w:eastAsia="仿宋_GB2312" w:hAnsi="仿宋_GB2312" w:cs="仿宋_GB2312" w:hint="eastAsia"/>
          <w:color w:val="000000"/>
          <w:sz w:val="32"/>
          <w:szCs w:val="32"/>
        </w:rPr>
        <w:t>净值</w:t>
      </w:r>
      <w:r>
        <w:rPr>
          <w:rFonts w:ascii="仿宋_GB2312" w:eastAsia="仿宋_GB2312" w:hAnsi="仿宋_GB2312" w:cs="仿宋_GB2312" w:hint="eastAsia"/>
          <w:color w:val="000000"/>
          <w:sz w:val="32"/>
          <w:szCs w:val="32"/>
        </w:rPr>
        <w:t>920390.57</w:t>
      </w:r>
      <w:r>
        <w:rPr>
          <w:rFonts w:ascii="仿宋_GB2312" w:eastAsia="仿宋_GB2312" w:hAnsi="仿宋_GB2312" w:cs="仿宋_GB2312" w:hint="eastAsia"/>
          <w:color w:val="000000"/>
          <w:sz w:val="32"/>
          <w:szCs w:val="32"/>
        </w:rPr>
        <w:t>元。</w:t>
      </w:r>
      <w:r>
        <w:rPr>
          <w:rFonts w:ascii="仿宋_GB2312" w:eastAsia="仿宋_GB2312" w:hAnsi="仿宋_GB2312" w:cs="仿宋_GB2312" w:hint="eastAsia"/>
          <w:sz w:val="32"/>
          <w:szCs w:val="32"/>
        </w:rPr>
        <w:t>截至</w:t>
      </w: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日，本单位共有车辆</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辆，办公用房</w:t>
      </w:r>
      <w:r>
        <w:rPr>
          <w:rFonts w:ascii="仿宋_GB2312" w:eastAsia="仿宋_GB2312" w:hAnsi="仿宋_GB2312" w:cs="仿宋_GB2312" w:hint="eastAsia"/>
          <w:sz w:val="32"/>
          <w:szCs w:val="32"/>
        </w:rPr>
        <w:t>997</w:t>
      </w:r>
      <w:r>
        <w:rPr>
          <w:rFonts w:ascii="仿宋_GB2312" w:eastAsia="仿宋_GB2312" w:hAnsi="仿宋_GB2312" w:cs="仿宋_GB2312" w:hint="eastAsia"/>
          <w:sz w:val="32"/>
          <w:szCs w:val="32"/>
        </w:rPr>
        <w:t>㎡，业务用房</w:t>
      </w:r>
      <w:r>
        <w:rPr>
          <w:rFonts w:ascii="仿宋_GB2312" w:eastAsia="仿宋_GB2312" w:hAnsi="仿宋_GB2312" w:cs="仿宋_GB2312" w:hint="eastAsia"/>
          <w:sz w:val="32"/>
          <w:szCs w:val="32"/>
        </w:rPr>
        <w:t>200</w:t>
      </w:r>
      <w:r>
        <w:rPr>
          <w:rFonts w:ascii="仿宋_GB2312" w:eastAsia="仿宋_GB2312" w:hAnsi="仿宋_GB2312" w:cs="仿宋_GB2312" w:hint="eastAsia"/>
          <w:sz w:val="32"/>
          <w:szCs w:val="32"/>
        </w:rPr>
        <w:t>㎡。</w:t>
      </w:r>
    </w:p>
    <w:p w:rsidR="00DC4DCA" w:rsidRDefault="00770717">
      <w:pPr>
        <w:spacing w:line="560" w:lineRule="exact"/>
        <w:ind w:left="0" w:firstLineChars="200" w:firstLine="640"/>
        <w:rPr>
          <w:rFonts w:ascii="仿宋_GB2312" w:eastAsia="仿宋_GB2312" w:hAnsi="仿宋_GB2312" w:cs="仿宋_GB2312"/>
          <w:color w:val="FF0000"/>
          <w:sz w:val="32"/>
          <w:szCs w:val="32"/>
        </w:rPr>
      </w:pPr>
      <w:r>
        <w:rPr>
          <w:rFonts w:ascii="仿宋_GB2312" w:eastAsia="仿宋_GB2312" w:hAnsi="仿宋_GB2312" w:cs="仿宋_GB2312" w:hint="eastAsia"/>
          <w:color w:val="000000"/>
          <w:sz w:val="32"/>
          <w:szCs w:val="32"/>
        </w:rPr>
        <w:t>财政财务管理制度及执行情况：严格按照《预算法》和相关财经纪律要求，厉行节约，杜绝不合理开支，降低行政成本，努力让财政资金发挥最大效益，较好地完成了全年预算。</w:t>
      </w:r>
    </w:p>
    <w:p w:rsidR="00DC4DCA" w:rsidRPr="00F84E9A" w:rsidRDefault="00770717" w:rsidP="00F84E9A">
      <w:pPr>
        <w:spacing w:line="560" w:lineRule="exact"/>
        <w:ind w:firstLineChars="200" w:firstLine="643"/>
        <w:jc w:val="left"/>
        <w:rPr>
          <w:rFonts w:asciiTheme="minorEastAsia" w:eastAsiaTheme="minorEastAsia" w:hAnsiTheme="minorEastAsia" w:cs="仿宋_GB2312"/>
          <w:b/>
          <w:sz w:val="32"/>
          <w:szCs w:val="32"/>
        </w:rPr>
      </w:pPr>
      <w:r w:rsidRPr="00F84E9A">
        <w:rPr>
          <w:rFonts w:asciiTheme="minorEastAsia" w:eastAsiaTheme="minorEastAsia" w:hAnsiTheme="minorEastAsia" w:cs="仿宋_GB2312" w:hint="eastAsia"/>
          <w:b/>
          <w:sz w:val="32"/>
          <w:szCs w:val="32"/>
        </w:rPr>
        <w:t>二、</w:t>
      </w:r>
      <w:r w:rsidRPr="00F84E9A">
        <w:rPr>
          <w:rFonts w:asciiTheme="minorEastAsia" w:eastAsiaTheme="minorEastAsia" w:hAnsiTheme="minorEastAsia" w:cs="仿宋_GB2312" w:hint="eastAsia"/>
          <w:b/>
          <w:sz w:val="32"/>
          <w:szCs w:val="32"/>
        </w:rPr>
        <w:t>部门（单位）整体支出绩效状况</w:t>
      </w:r>
    </w:p>
    <w:p w:rsidR="00DC4DCA" w:rsidRDefault="00770717">
      <w:pPr>
        <w:spacing w:line="560" w:lineRule="exact"/>
        <w:ind w:left="0"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我们坚持以习近平新时代中国特色社会主义思想为指导，深入学习党的二十大精神，全面贯彻落实中央和省、市、县委各项决策部署，在镇党委的坚强领导下，在镇人大的监督支持下，对标对表“产业兴旺、生态宜居、乡风文明、治理有效、生活富裕”的乡村振兴总要求，紧紧围绕县委县政府“一堡五高地”的战略目标和“产业为本、基础先行、金</w:t>
      </w:r>
      <w:r>
        <w:rPr>
          <w:rFonts w:ascii="仿宋_GB2312" w:eastAsia="仿宋_GB2312" w:hAnsi="仿宋_GB2312" w:cs="仿宋_GB2312" w:hint="eastAsia"/>
          <w:sz w:val="32"/>
          <w:szCs w:val="32"/>
        </w:rPr>
        <w:t>融为器、规划引领、项目为王”的总体思路，牢牢把握“民生实事、经济发展、安全生产、安全维稳”四个关键，坚定不移抓产业发展、促乡村振兴、保社会稳定、强政府建设，不断推动林冲经济社会高质量发展。</w:t>
      </w:r>
      <w:r>
        <w:rPr>
          <w:rFonts w:ascii="仿宋_GB2312" w:eastAsia="仿宋_GB2312" w:hAnsi="仿宋_GB2312" w:cs="仿宋_GB2312" w:hint="eastAsia"/>
          <w:color w:val="000000"/>
          <w:sz w:val="32"/>
          <w:szCs w:val="32"/>
        </w:rPr>
        <w:t>根据《</w:t>
      </w:r>
      <w:r>
        <w:rPr>
          <w:rFonts w:ascii="仿宋_GB2312" w:eastAsia="仿宋_GB2312" w:hAnsi="仿宋_GB2312" w:cs="仿宋_GB2312" w:hint="eastAsia"/>
          <w:color w:val="000000"/>
          <w:sz w:val="32"/>
          <w:szCs w:val="32"/>
        </w:rPr>
        <w:t>2024</w:t>
      </w:r>
      <w:r>
        <w:rPr>
          <w:rFonts w:ascii="仿宋_GB2312" w:eastAsia="仿宋_GB2312" w:hAnsi="仿宋_GB2312" w:cs="仿宋_GB2312" w:hint="eastAsia"/>
          <w:color w:val="000000"/>
          <w:sz w:val="32"/>
          <w:szCs w:val="32"/>
        </w:rPr>
        <w:t>年度新晃侗族自治县</w:t>
      </w:r>
      <w:r>
        <w:rPr>
          <w:rFonts w:ascii="仿宋_GB2312" w:eastAsia="仿宋_GB2312" w:hAnsi="仿宋_GB2312" w:cs="仿宋_GB2312" w:hint="eastAsia"/>
          <w:color w:val="000000"/>
          <w:sz w:val="32"/>
          <w:szCs w:val="32"/>
        </w:rPr>
        <w:t>林冲镇人民政府</w:t>
      </w:r>
      <w:r>
        <w:rPr>
          <w:rFonts w:ascii="仿宋_GB2312" w:eastAsia="仿宋_GB2312" w:hAnsi="仿宋_GB2312" w:cs="仿宋_GB2312" w:hint="eastAsia"/>
          <w:color w:val="000000"/>
          <w:sz w:val="32"/>
          <w:szCs w:val="32"/>
        </w:rPr>
        <w:t>整体支出绩效</w:t>
      </w:r>
      <w:r>
        <w:rPr>
          <w:rFonts w:ascii="仿宋_GB2312" w:eastAsia="仿宋_GB2312" w:hAnsi="仿宋_GB2312" w:cs="仿宋_GB2312" w:hint="eastAsia"/>
          <w:color w:val="000000"/>
          <w:sz w:val="32"/>
          <w:szCs w:val="32"/>
        </w:rPr>
        <w:lastRenderedPageBreak/>
        <w:t>自评表》，</w:t>
      </w:r>
      <w:r>
        <w:rPr>
          <w:rFonts w:ascii="仿宋_GB2312" w:eastAsia="仿宋_GB2312" w:hAnsi="仿宋_GB2312" w:cs="仿宋_GB2312" w:hint="eastAsia"/>
          <w:sz w:val="32"/>
          <w:szCs w:val="32"/>
        </w:rPr>
        <w:t>自评得分</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分，整体支出绩效为“优秀”。</w:t>
      </w:r>
    </w:p>
    <w:p w:rsidR="00DC4DCA" w:rsidRPr="00F84E9A" w:rsidRDefault="00770717" w:rsidP="00F84E9A">
      <w:pPr>
        <w:spacing w:line="560" w:lineRule="exact"/>
        <w:ind w:firstLineChars="200" w:firstLine="643"/>
        <w:jc w:val="left"/>
        <w:rPr>
          <w:rFonts w:asciiTheme="minorEastAsia" w:eastAsiaTheme="minorEastAsia" w:hAnsiTheme="minorEastAsia" w:cs="仿宋_GB2312"/>
          <w:b/>
          <w:sz w:val="32"/>
          <w:szCs w:val="32"/>
        </w:rPr>
      </w:pPr>
      <w:r w:rsidRPr="00F84E9A">
        <w:rPr>
          <w:rFonts w:asciiTheme="minorEastAsia" w:eastAsiaTheme="minorEastAsia" w:hAnsiTheme="minorEastAsia" w:cs="仿宋_GB2312" w:hint="eastAsia"/>
          <w:b/>
          <w:sz w:val="32"/>
          <w:szCs w:val="32"/>
        </w:rPr>
        <w:t>三、</w:t>
      </w:r>
      <w:r w:rsidRPr="00F84E9A">
        <w:rPr>
          <w:rFonts w:asciiTheme="minorEastAsia" w:eastAsiaTheme="minorEastAsia" w:hAnsiTheme="minorEastAsia" w:cs="仿宋_GB2312" w:hint="eastAsia"/>
          <w:b/>
          <w:sz w:val="32"/>
          <w:szCs w:val="32"/>
        </w:rPr>
        <w:t>存在的问题及原因</w:t>
      </w:r>
    </w:p>
    <w:p w:rsidR="00DC4DCA" w:rsidRDefault="00770717">
      <w:pPr>
        <w:spacing w:line="560" w:lineRule="exact"/>
        <w:ind w:left="0" w:firstLineChars="200" w:firstLine="640"/>
        <w:textAlignment w:val="auto"/>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我</w:t>
      </w:r>
      <w:r>
        <w:rPr>
          <w:rFonts w:ascii="仿宋_GB2312" w:eastAsia="仿宋_GB2312" w:hAnsi="仿宋_GB2312" w:cs="仿宋_GB2312" w:hint="eastAsia"/>
          <w:color w:val="000000"/>
          <w:sz w:val="32"/>
          <w:szCs w:val="32"/>
        </w:rPr>
        <w:t>镇</w:t>
      </w:r>
      <w:r>
        <w:rPr>
          <w:rFonts w:ascii="仿宋_GB2312" w:eastAsia="仿宋_GB2312" w:hAnsi="仿宋_GB2312" w:cs="仿宋_GB2312" w:hint="eastAsia"/>
          <w:color w:val="000000"/>
          <w:sz w:val="32"/>
          <w:szCs w:val="32"/>
        </w:rPr>
        <w:t>财政资金紧张，资金缺口过大，特别是政府公用经费尤其紧张。公用经费实行定额标准管理，预算标准与实际执行脱节，在很大程度上影响了资金的使用效率。各种矛盾凸显，导致我乡基本保障面临巨大的压力。</w:t>
      </w:r>
    </w:p>
    <w:p w:rsidR="00DC4DCA" w:rsidRPr="00F84E9A" w:rsidRDefault="00770717" w:rsidP="00F84E9A">
      <w:pPr>
        <w:spacing w:line="560" w:lineRule="exact"/>
        <w:ind w:firstLineChars="200" w:firstLine="643"/>
        <w:jc w:val="left"/>
        <w:rPr>
          <w:rFonts w:asciiTheme="minorEastAsia" w:eastAsiaTheme="minorEastAsia" w:hAnsiTheme="minorEastAsia" w:cs="仿宋_GB2312"/>
          <w:b/>
          <w:sz w:val="32"/>
          <w:szCs w:val="32"/>
        </w:rPr>
      </w:pPr>
      <w:r w:rsidRPr="00F84E9A">
        <w:rPr>
          <w:rFonts w:asciiTheme="minorEastAsia" w:eastAsiaTheme="minorEastAsia" w:hAnsiTheme="minorEastAsia" w:cs="仿宋_GB2312" w:hint="eastAsia"/>
          <w:b/>
          <w:sz w:val="32"/>
          <w:szCs w:val="32"/>
        </w:rPr>
        <w:t>四、</w:t>
      </w:r>
      <w:r w:rsidRPr="00F84E9A">
        <w:rPr>
          <w:rFonts w:asciiTheme="minorEastAsia" w:eastAsiaTheme="minorEastAsia" w:hAnsiTheme="minorEastAsia" w:cs="仿宋_GB2312" w:hint="eastAsia"/>
          <w:b/>
          <w:sz w:val="32"/>
          <w:szCs w:val="32"/>
        </w:rPr>
        <w:t>高财政资金绩效的措施与建议</w:t>
      </w:r>
    </w:p>
    <w:p w:rsidR="00DC4DCA" w:rsidRPr="00F84E9A" w:rsidRDefault="00770717" w:rsidP="00F84E9A">
      <w:pPr>
        <w:spacing w:line="560" w:lineRule="exact"/>
        <w:ind w:firstLineChars="200" w:firstLine="643"/>
        <w:textAlignment w:val="auto"/>
        <w:rPr>
          <w:rFonts w:ascii="楷体" w:eastAsia="楷体" w:hAnsi="楷体" w:cs="仿宋_GB2312"/>
          <w:b/>
          <w:sz w:val="32"/>
          <w:szCs w:val="32"/>
        </w:rPr>
      </w:pPr>
      <w:r w:rsidRPr="00F84E9A">
        <w:rPr>
          <w:rFonts w:ascii="楷体" w:eastAsia="楷体" w:hAnsi="楷体" w:cs="仿宋_GB2312" w:hint="eastAsia"/>
          <w:b/>
          <w:sz w:val="32"/>
          <w:szCs w:val="32"/>
        </w:rPr>
        <w:t>（一）</w:t>
      </w:r>
      <w:r w:rsidRPr="00F84E9A">
        <w:rPr>
          <w:rFonts w:ascii="楷体" w:eastAsia="楷体" w:hAnsi="楷体" w:cs="仿宋_GB2312" w:hint="eastAsia"/>
          <w:b/>
          <w:sz w:val="32"/>
          <w:szCs w:val="32"/>
        </w:rPr>
        <w:t>科学合理编制预算，严格执行预算</w:t>
      </w:r>
    </w:p>
    <w:p w:rsidR="00DC4DCA" w:rsidRDefault="00770717">
      <w:pPr>
        <w:spacing w:line="560" w:lineRule="exact"/>
        <w:ind w:left="0"/>
        <w:textAlignment w:val="auto"/>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加强预算编制的前瞻性，按照新《预算</w:t>
      </w:r>
      <w:r>
        <w:rPr>
          <w:rFonts w:ascii="仿宋_GB2312" w:eastAsia="仿宋_GB2312" w:hAnsi="仿宋_GB2312" w:cs="仿宋_GB2312" w:hint="eastAsia"/>
          <w:color w:val="000000"/>
          <w:sz w:val="32"/>
          <w:szCs w:val="32"/>
        </w:rPr>
        <w:t>法》及其实施条例的相关规定，按政策规定及本部门的发展规划，结合上一年度预算执行情况和本年度预算收支变化，科学、合理地编制本年预算草案，避免项目支出与基本支出划分不准或预算支出与实际执行出现较大偏差的情况，执行中确需调剂预算的，按规定程序报经批准。</w:t>
      </w:r>
    </w:p>
    <w:p w:rsidR="00DC4DCA" w:rsidRPr="00F84E9A" w:rsidRDefault="00770717" w:rsidP="00F84E9A">
      <w:pPr>
        <w:spacing w:line="560" w:lineRule="exact"/>
        <w:ind w:firstLineChars="200" w:firstLine="643"/>
        <w:textAlignment w:val="auto"/>
        <w:rPr>
          <w:rFonts w:ascii="楷体" w:eastAsia="楷体" w:hAnsi="楷体" w:cs="仿宋_GB2312"/>
          <w:b/>
          <w:sz w:val="32"/>
          <w:szCs w:val="32"/>
        </w:rPr>
      </w:pPr>
      <w:r w:rsidRPr="00F84E9A">
        <w:rPr>
          <w:rFonts w:ascii="楷体" w:eastAsia="楷体" w:hAnsi="楷体" w:cs="仿宋_GB2312" w:hint="eastAsia"/>
          <w:b/>
          <w:sz w:val="32"/>
          <w:szCs w:val="32"/>
        </w:rPr>
        <w:t>（二）</w:t>
      </w:r>
      <w:r w:rsidRPr="00F84E9A">
        <w:rPr>
          <w:rFonts w:ascii="楷体" w:eastAsia="楷体" w:hAnsi="楷体" w:cs="仿宋_GB2312" w:hint="eastAsia"/>
          <w:b/>
          <w:sz w:val="32"/>
          <w:szCs w:val="32"/>
        </w:rPr>
        <w:t>完善管理制度，进一步加强资产管理</w:t>
      </w:r>
    </w:p>
    <w:p w:rsidR="00DC4DCA" w:rsidRDefault="00770717">
      <w:pPr>
        <w:spacing w:line="560" w:lineRule="exact"/>
        <w:ind w:left="0" w:firstLine="640"/>
        <w:textAlignment w:val="auto"/>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进一步贯彻落实中央“八项规定”和湖南省委“九条规定”，建立本部门“三公经费”等公务支出管理制度及厉行节约制度，加强经</w:t>
      </w:r>
      <w:r>
        <w:rPr>
          <w:rFonts w:ascii="仿宋_GB2312" w:eastAsia="仿宋_GB2312" w:hAnsi="仿宋_GB2312" w:cs="仿宋_GB2312" w:hint="eastAsia"/>
          <w:color w:val="000000"/>
          <w:sz w:val="32"/>
          <w:szCs w:val="32"/>
        </w:rPr>
        <w:t>费审批和控制，规范支出标准与范围，并严格执行。严格按照《固定资产管理办法》的规定加强固定资产管理，及时登记、更新台账，加强资产卡片管理，年终前对各类实物资产进行全面盘点，确保账账、账实相符。</w:t>
      </w:r>
    </w:p>
    <w:p w:rsidR="00DC4DCA" w:rsidRPr="00F84E9A" w:rsidRDefault="00770717" w:rsidP="00F84E9A">
      <w:pPr>
        <w:spacing w:line="560" w:lineRule="exact"/>
        <w:ind w:firstLineChars="200" w:firstLine="643"/>
        <w:textAlignment w:val="auto"/>
        <w:rPr>
          <w:rFonts w:ascii="楷体" w:eastAsia="楷体" w:hAnsi="楷体" w:cs="仿宋_GB2312"/>
          <w:b/>
          <w:sz w:val="32"/>
          <w:szCs w:val="32"/>
        </w:rPr>
      </w:pPr>
      <w:r w:rsidRPr="00F84E9A">
        <w:rPr>
          <w:rFonts w:ascii="楷体" w:eastAsia="楷体" w:hAnsi="楷体" w:cs="仿宋_GB2312" w:hint="eastAsia"/>
          <w:b/>
          <w:sz w:val="32"/>
          <w:szCs w:val="32"/>
        </w:rPr>
        <w:t>（三）</w:t>
      </w:r>
      <w:r w:rsidRPr="00F84E9A">
        <w:rPr>
          <w:rFonts w:ascii="楷体" w:eastAsia="楷体" w:hAnsi="楷体" w:cs="仿宋_GB2312" w:hint="eastAsia"/>
          <w:b/>
          <w:sz w:val="32"/>
          <w:szCs w:val="32"/>
        </w:rPr>
        <w:t>加强法制教育，严肃财经法规</w:t>
      </w:r>
    </w:p>
    <w:p w:rsidR="00DC4DCA" w:rsidRDefault="00770717">
      <w:pPr>
        <w:spacing w:line="560" w:lineRule="exact"/>
        <w:ind w:left="0" w:firstLineChars="200" w:firstLine="640"/>
        <w:textAlignment w:val="auto"/>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lastRenderedPageBreak/>
        <w:t>强化法律意识，高度重视财务管理工作，进一步提高有关工作人员的专业知识水平和业务工作能力，不断完善内部控制，努力提高财务管理水平，规范预算执行</w:t>
      </w:r>
    </w:p>
    <w:p w:rsidR="00DC4DCA" w:rsidRPr="00F84E9A" w:rsidRDefault="00770717" w:rsidP="00F84E9A">
      <w:pPr>
        <w:spacing w:line="560" w:lineRule="exact"/>
        <w:ind w:left="0" w:firstLineChars="200" w:firstLine="643"/>
        <w:textAlignment w:val="auto"/>
        <w:rPr>
          <w:rFonts w:ascii="楷体" w:eastAsia="楷体" w:hAnsi="楷体" w:cs="仿宋_GB2312"/>
          <w:b/>
          <w:sz w:val="32"/>
          <w:szCs w:val="32"/>
        </w:rPr>
      </w:pPr>
      <w:r w:rsidRPr="00F84E9A">
        <w:rPr>
          <w:rFonts w:ascii="楷体" w:eastAsia="楷体" w:hAnsi="楷体" w:cs="仿宋_GB2312" w:hint="eastAsia"/>
          <w:b/>
          <w:sz w:val="32"/>
          <w:szCs w:val="32"/>
        </w:rPr>
        <w:t>（四）</w:t>
      </w:r>
      <w:r w:rsidRPr="00F84E9A">
        <w:rPr>
          <w:rFonts w:ascii="楷体" w:eastAsia="楷体" w:hAnsi="楷体" w:cs="仿宋_GB2312" w:hint="eastAsia"/>
          <w:b/>
          <w:sz w:val="32"/>
          <w:szCs w:val="32"/>
        </w:rPr>
        <w:t>不断提高财政资金的使用效益</w:t>
      </w:r>
    </w:p>
    <w:p w:rsidR="00DC4DCA" w:rsidRDefault="00770717">
      <w:pPr>
        <w:spacing w:line="560" w:lineRule="exact"/>
        <w:ind w:left="0" w:firstLineChars="200" w:firstLine="640"/>
        <w:textAlignment w:val="auto"/>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积极探索、建立财政预算的绩效评价体系和考核制度，加强预算执行分析，强化决算管理。建立预算执行追踪问效制度，有效</w:t>
      </w:r>
      <w:r>
        <w:rPr>
          <w:rFonts w:ascii="仿宋_GB2312" w:eastAsia="仿宋_GB2312" w:hAnsi="仿宋_GB2312" w:cs="仿宋_GB2312" w:hint="eastAsia"/>
          <w:color w:val="000000"/>
          <w:sz w:val="32"/>
          <w:szCs w:val="32"/>
        </w:rPr>
        <w:t>控制公用经费的支出，提高预算资金的使用效益。</w:t>
      </w:r>
    </w:p>
    <w:p w:rsidR="00DC4DCA" w:rsidRPr="00F84E9A" w:rsidRDefault="00770717" w:rsidP="00F84E9A">
      <w:pPr>
        <w:spacing w:line="560" w:lineRule="exact"/>
        <w:ind w:left="0" w:firstLineChars="200" w:firstLine="643"/>
        <w:textAlignment w:val="auto"/>
        <w:rPr>
          <w:rFonts w:ascii="楷体" w:eastAsia="楷体" w:hAnsi="楷体" w:cs="仿宋_GB2312"/>
          <w:b/>
          <w:sz w:val="32"/>
          <w:szCs w:val="32"/>
        </w:rPr>
      </w:pPr>
      <w:r w:rsidRPr="00F84E9A">
        <w:rPr>
          <w:rFonts w:ascii="楷体" w:eastAsia="楷体" w:hAnsi="楷体" w:cs="仿宋_GB2312" w:hint="eastAsia"/>
          <w:b/>
          <w:sz w:val="32"/>
          <w:szCs w:val="32"/>
        </w:rPr>
        <w:t>（五）</w:t>
      </w:r>
      <w:r w:rsidRPr="00F84E9A">
        <w:rPr>
          <w:rFonts w:ascii="楷体" w:eastAsia="楷体" w:hAnsi="楷体" w:cs="仿宋_GB2312" w:hint="eastAsia"/>
          <w:b/>
          <w:sz w:val="32"/>
          <w:szCs w:val="32"/>
        </w:rPr>
        <w:t>加强新会计制度和新预算法学习培训</w:t>
      </w:r>
    </w:p>
    <w:p w:rsidR="00DC4DCA" w:rsidRDefault="00770717">
      <w:pPr>
        <w:spacing w:line="560" w:lineRule="exact"/>
        <w:ind w:left="0" w:firstLineChars="200" w:firstLine="640"/>
        <w:textAlignment w:val="auto"/>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加强新《预算法》、《政府会计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w:t>
      </w:r>
    </w:p>
    <w:p w:rsidR="00DC4DCA" w:rsidRDefault="00DC4DCA">
      <w:pPr>
        <w:spacing w:line="560" w:lineRule="exact"/>
        <w:ind w:left="0"/>
        <w:jc w:val="left"/>
        <w:rPr>
          <w:rFonts w:ascii="仿宋_GB2312" w:eastAsia="仿宋_GB2312" w:hAnsi="仿宋_GB2312" w:cs="仿宋_GB2312"/>
          <w:sz w:val="32"/>
          <w:szCs w:val="32"/>
        </w:rPr>
      </w:pPr>
    </w:p>
    <w:p w:rsidR="00DC4DCA" w:rsidRDefault="00DC4DCA">
      <w:pPr>
        <w:spacing w:line="560" w:lineRule="exact"/>
        <w:ind w:left="0"/>
        <w:jc w:val="left"/>
        <w:rPr>
          <w:rFonts w:ascii="仿宋_GB2312" w:eastAsia="仿宋_GB2312" w:hAnsi="仿宋_GB2312" w:cs="仿宋_GB2312"/>
          <w:sz w:val="32"/>
          <w:szCs w:val="32"/>
        </w:rPr>
      </w:pPr>
    </w:p>
    <w:p w:rsidR="00F84E9A" w:rsidRDefault="00770717" w:rsidP="00F84E9A">
      <w:pPr>
        <w:spacing w:line="560" w:lineRule="exact"/>
        <w:ind w:left="0" w:firstLineChars="200" w:firstLine="640"/>
        <w:jc w:val="left"/>
      </w:pPr>
      <w:r>
        <w:rPr>
          <w:rFonts w:ascii="仿宋_GB2312" w:eastAsia="仿宋_GB2312" w:hAnsi="仿宋_GB2312" w:cs="仿宋_GB2312" w:hint="eastAsia"/>
          <w:sz w:val="32"/>
          <w:szCs w:val="32"/>
        </w:rPr>
        <w:t xml:space="preserve">                  </w:t>
      </w:r>
    </w:p>
    <w:p w:rsidR="00DC4DCA" w:rsidRDefault="00DC4DCA"/>
    <w:sectPr w:rsidR="00DC4DCA">
      <w:pgSz w:w="11906" w:h="16838"/>
      <w:pgMar w:top="2098" w:right="1474" w:bottom="1984" w:left="158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717" w:rsidRDefault="00770717">
      <w:pPr>
        <w:spacing w:line="240" w:lineRule="auto"/>
      </w:pPr>
      <w:r>
        <w:separator/>
      </w:r>
    </w:p>
  </w:endnote>
  <w:endnote w:type="continuationSeparator" w:id="0">
    <w:p w:rsidR="00770717" w:rsidRDefault="007707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717" w:rsidRDefault="00770717">
      <w:pPr>
        <w:spacing w:line="240" w:lineRule="auto"/>
      </w:pPr>
      <w:r>
        <w:separator/>
      </w:r>
    </w:p>
  </w:footnote>
  <w:footnote w:type="continuationSeparator" w:id="0">
    <w:p w:rsidR="00770717" w:rsidRDefault="0077071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5F5D6D"/>
    <w:rsid w:val="FADF663D"/>
    <w:rsid w:val="FF5F5D6D"/>
    <w:rsid w:val="FFFB0F81"/>
    <w:rsid w:val="00770717"/>
    <w:rsid w:val="00DC4DCA"/>
    <w:rsid w:val="00F84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365" w:lineRule="atLeast"/>
      <w:ind w:left="1"/>
      <w:jc w:val="both"/>
      <w:textAlignment w:val="bottom"/>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a4">
    <w:name w:val="Strong"/>
    <w:qFormat/>
    <w:rPr>
      <w:b/>
      <w:bCs/>
    </w:rPr>
  </w:style>
  <w:style w:type="paragraph" w:styleId="a5">
    <w:name w:val="header"/>
    <w:basedOn w:val="a"/>
    <w:link w:val="Char"/>
    <w:rsid w:val="00F84E9A"/>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5"/>
    <w:rsid w:val="00F84E9A"/>
    <w:rPr>
      <w:rFonts w:ascii="Times New Roman" w:eastAsia="宋体" w:hAnsi="Times New Roman" w:cs="Times New Roman"/>
      <w:sz w:val="18"/>
      <w:szCs w:val="18"/>
    </w:rPr>
  </w:style>
  <w:style w:type="paragraph" w:styleId="a6">
    <w:name w:val="footer"/>
    <w:basedOn w:val="a"/>
    <w:link w:val="Char0"/>
    <w:rsid w:val="00F84E9A"/>
    <w:pPr>
      <w:tabs>
        <w:tab w:val="center" w:pos="4153"/>
        <w:tab w:val="right" w:pos="8306"/>
      </w:tabs>
      <w:snapToGrid w:val="0"/>
      <w:spacing w:line="240" w:lineRule="atLeast"/>
      <w:jc w:val="left"/>
    </w:pPr>
    <w:rPr>
      <w:sz w:val="18"/>
      <w:szCs w:val="18"/>
    </w:rPr>
  </w:style>
  <w:style w:type="character" w:customStyle="1" w:styleId="Char0">
    <w:name w:val="页脚 Char"/>
    <w:basedOn w:val="a0"/>
    <w:link w:val="a6"/>
    <w:rsid w:val="00F84E9A"/>
    <w:rPr>
      <w:rFonts w:ascii="Times New Roman" w:eastAsia="宋体" w:hAnsi="Times New Roman" w:cs="Times New Roman"/>
      <w:sz w:val="18"/>
      <w:szCs w:val="18"/>
    </w:rPr>
  </w:style>
  <w:style w:type="paragraph" w:customStyle="1" w:styleId="Default">
    <w:name w:val="Default"/>
    <w:qFormat/>
    <w:rsid w:val="00F84E9A"/>
    <w:pPr>
      <w:widowControl w:val="0"/>
      <w:autoSpaceDE w:val="0"/>
      <w:autoSpaceDN w:val="0"/>
      <w:adjustRightInd w:val="0"/>
    </w:pPr>
    <w:rPr>
      <w:rFonts w:ascii="黑体" w:eastAsia="黑体" w:cs="黑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365" w:lineRule="atLeast"/>
      <w:ind w:left="1"/>
      <w:jc w:val="both"/>
      <w:textAlignment w:val="bottom"/>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a4">
    <w:name w:val="Strong"/>
    <w:qFormat/>
    <w:rPr>
      <w:b/>
      <w:bCs/>
    </w:rPr>
  </w:style>
  <w:style w:type="paragraph" w:styleId="a5">
    <w:name w:val="header"/>
    <w:basedOn w:val="a"/>
    <w:link w:val="Char"/>
    <w:rsid w:val="00F84E9A"/>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5"/>
    <w:rsid w:val="00F84E9A"/>
    <w:rPr>
      <w:rFonts w:ascii="Times New Roman" w:eastAsia="宋体" w:hAnsi="Times New Roman" w:cs="Times New Roman"/>
      <w:sz w:val="18"/>
      <w:szCs w:val="18"/>
    </w:rPr>
  </w:style>
  <w:style w:type="paragraph" w:styleId="a6">
    <w:name w:val="footer"/>
    <w:basedOn w:val="a"/>
    <w:link w:val="Char0"/>
    <w:rsid w:val="00F84E9A"/>
    <w:pPr>
      <w:tabs>
        <w:tab w:val="center" w:pos="4153"/>
        <w:tab w:val="right" w:pos="8306"/>
      </w:tabs>
      <w:snapToGrid w:val="0"/>
      <w:spacing w:line="240" w:lineRule="atLeast"/>
      <w:jc w:val="left"/>
    </w:pPr>
    <w:rPr>
      <w:sz w:val="18"/>
      <w:szCs w:val="18"/>
    </w:rPr>
  </w:style>
  <w:style w:type="character" w:customStyle="1" w:styleId="Char0">
    <w:name w:val="页脚 Char"/>
    <w:basedOn w:val="a0"/>
    <w:link w:val="a6"/>
    <w:rsid w:val="00F84E9A"/>
    <w:rPr>
      <w:rFonts w:ascii="Times New Roman" w:eastAsia="宋体" w:hAnsi="Times New Roman" w:cs="Times New Roman"/>
      <w:sz w:val="18"/>
      <w:szCs w:val="18"/>
    </w:rPr>
  </w:style>
  <w:style w:type="paragraph" w:customStyle="1" w:styleId="Default">
    <w:name w:val="Default"/>
    <w:qFormat/>
    <w:rsid w:val="00F84E9A"/>
    <w:pPr>
      <w:widowControl w:val="0"/>
      <w:autoSpaceDE w:val="0"/>
      <w:autoSpaceDN w:val="0"/>
      <w:adjustRightInd w:val="0"/>
    </w:pPr>
    <w:rPr>
      <w:rFonts w:ascii="黑体" w:eastAsia="黑体"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290</Words>
  <Characters>1657</Characters>
  <Application>Microsoft Office Word</Application>
  <DocSecurity>0</DocSecurity>
  <Lines>13</Lines>
  <Paragraphs>3</Paragraphs>
  <ScaleCrop>false</ScaleCrop>
  <Company>china</Company>
  <LinksUpToDate>false</LinksUpToDate>
  <CharactersWithSpaces>1944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WPS_1599442975</dc:creator>
  <cp:lastModifiedBy>Administrator</cp:lastModifiedBy>
  <cp:revision>2</cp:revision>
  <dcterms:created xsi:type="dcterms:W3CDTF">2025-09-24T08:10:00Z</dcterms:created>
  <dcterms:modified xsi:type="dcterms:W3CDTF">2025-09-24T08:10:00Z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912A59DCA876B0EF7305E46722A97D78_41</vt:lpwstr>
  </property>
</Properties>
</file>